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责任价值创新企业申报表</w:t>
      </w:r>
    </w:p>
    <w:tbl>
      <w:tblPr>
        <w:tblStyle w:val="3"/>
        <w:tblW w:w="992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424"/>
        <w:gridCol w:w="1984"/>
        <w:gridCol w:w="1701"/>
        <w:gridCol w:w="284"/>
        <w:gridCol w:w="42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62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企业名称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985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企业性质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262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注册地址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业务类型（领域）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62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企业社会责任负责机构名称</w:t>
            </w:r>
          </w:p>
        </w:tc>
        <w:tc>
          <w:tcPr>
            <w:tcW w:w="7665" w:type="dxa"/>
            <w:gridSpan w:val="6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62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社会责任最高负责人</w:t>
            </w:r>
          </w:p>
        </w:tc>
        <w:tc>
          <w:tcPr>
            <w:tcW w:w="1424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姓名/职务</w:t>
            </w:r>
          </w:p>
        </w:tc>
        <w:tc>
          <w:tcPr>
            <w:tcW w:w="1984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联系电话/</w:t>
            </w:r>
          </w:p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电邮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2262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社会责任专职部门/专职人员</w:t>
            </w:r>
          </w:p>
        </w:tc>
        <w:tc>
          <w:tcPr>
            <w:tcW w:w="1424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部门名称</w:t>
            </w:r>
          </w:p>
        </w:tc>
        <w:tc>
          <w:tcPr>
            <w:tcW w:w="1984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专职人员人数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2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联系人姓名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联系人电话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62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电子邮件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通信地址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62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社会责任年度预算金额/领域</w:t>
            </w:r>
          </w:p>
        </w:tc>
        <w:tc>
          <w:tcPr>
            <w:tcW w:w="1424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社会责任累计投入金额/领域</w:t>
            </w:r>
          </w:p>
        </w:tc>
        <w:tc>
          <w:tcPr>
            <w:tcW w:w="4257" w:type="dxa"/>
            <w:gridSpan w:val="4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62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公益基金会名称（或填无）</w:t>
            </w:r>
          </w:p>
        </w:tc>
        <w:tc>
          <w:tcPr>
            <w:tcW w:w="1424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公益项目名称和领域</w:t>
            </w:r>
          </w:p>
        </w:tc>
        <w:tc>
          <w:tcPr>
            <w:tcW w:w="4257" w:type="dxa"/>
            <w:gridSpan w:val="4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62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是否发布CSR报告</w:t>
            </w:r>
          </w:p>
        </w:tc>
        <w:tc>
          <w:tcPr>
            <w:tcW w:w="1424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报告发布周期</w:t>
            </w:r>
          </w:p>
        </w:tc>
        <w:tc>
          <w:tcPr>
            <w:tcW w:w="1701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发布时间</w:t>
            </w:r>
          </w:p>
        </w:tc>
        <w:tc>
          <w:tcPr>
            <w:tcW w:w="1843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9927" w:type="dxa"/>
            <w:gridSpan w:val="7"/>
            <w:vAlign w:val="top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CSR工作主要业绩（包括概述、特色、现有项目名称等，可另附页。已发布社会责任报告的企业可直接提供最新社会责任报告一份）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9927" w:type="dxa"/>
            <w:gridSpan w:val="7"/>
            <w:vAlign w:val="top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申报承诺：</w:t>
            </w:r>
          </w:p>
          <w:p>
            <w:pPr>
              <w:autoSpaceDN w:val="0"/>
              <w:spacing w:line="276" w:lineRule="auto"/>
              <w:ind w:firstLine="480" w:firstLineChars="200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我单位依据SJ/T16000《电子信息行业社会责任指南》行业标准积极履行社会责任，并申请成为的责任价值创新企业，承诺自身和在供应链上积极贯彻实施行业标准，积极引领行业社会责任建设，积极推动行业社会责任实践，积极响应行业社会责任行动，为促进电子信息行业可持续发展积极贡献力量。</w:t>
            </w: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 xml:space="preserve"> </w:t>
            </w:r>
          </w:p>
          <w:p>
            <w:pPr>
              <w:autoSpaceDN w:val="0"/>
              <w:spacing w:line="276" w:lineRule="auto"/>
              <w:ind w:firstLine="480" w:firstLineChars="200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  <w:p>
            <w:pPr>
              <w:autoSpaceDN w:val="0"/>
              <w:spacing w:line="276" w:lineRule="auto"/>
              <w:ind w:firstLine="480" w:firstLineChars="200"/>
              <w:jc w:val="center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 xml:space="preserve">                                             申报单位盖章（公章）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9927" w:type="dxa"/>
            <w:gridSpan w:val="7"/>
            <w:vAlign w:val="top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社责委审核意见：</w:t>
            </w:r>
          </w:p>
        </w:tc>
      </w:tr>
    </w:tbl>
    <w:p/>
    <w:sectPr>
      <w:pgSz w:w="11906" w:h="16838"/>
      <w:pgMar w:top="1985" w:right="1588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E323A"/>
    <w:rsid w:val="1BBE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2018-08-03T01:23:00Z</dcterms:created>
  <dc:creator>HGB-BZ-01</dc:creator>
  <cp:lastModifiedBy>HGB-BZ-01</cp:lastModifiedBy>
  <dcterms:modified xsi:type="dcterms:W3CDTF">2018-08-03T01:23:30Z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